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349" w:rsidRPr="00537AD5" w:rsidRDefault="00097349" w:rsidP="00097349">
      <w:pPr>
        <w:spacing w:before="120" w:after="120" w:line="360" w:lineRule="auto"/>
        <w:jc w:val="both"/>
        <w:rPr>
          <w:rFonts w:eastAsiaTheme="majorEastAsia"/>
          <w:b/>
          <w:sz w:val="24"/>
          <w:szCs w:val="24"/>
        </w:rPr>
      </w:pPr>
      <w:r w:rsidRPr="00537AD5">
        <w:rPr>
          <w:rFonts w:eastAsiaTheme="majorEastAsia"/>
          <w:b/>
          <w:sz w:val="24"/>
          <w:szCs w:val="24"/>
        </w:rPr>
        <w:t>NGÔN NGỮ ĐÍCH (Target Language)</w:t>
      </w:r>
    </w:p>
    <w:p w:rsidR="00097349" w:rsidRPr="00537AD5" w:rsidRDefault="00097349" w:rsidP="00097349">
      <w:pPr>
        <w:spacing w:line="360" w:lineRule="auto"/>
        <w:ind w:firstLine="709"/>
        <w:jc w:val="both"/>
        <w:rPr>
          <w:rFonts w:eastAsiaTheme="majorEastAsia"/>
        </w:rPr>
      </w:pPr>
      <w:r w:rsidRPr="00537AD5">
        <w:rPr>
          <w:rFonts w:eastAsiaTheme="majorEastAsia"/>
          <w:b/>
        </w:rPr>
        <w:t>1.</w:t>
      </w:r>
      <w:r w:rsidRPr="00537AD5">
        <w:rPr>
          <w:rFonts w:eastAsiaTheme="majorEastAsia"/>
        </w:rPr>
        <w:t xml:space="preserve"> (</w:t>
      </w:r>
      <w:proofErr w:type="gramStart"/>
      <w:r w:rsidRPr="00537AD5">
        <w:rPr>
          <w:rFonts w:eastAsiaTheme="majorEastAsia"/>
        </w:rPr>
        <w:t>target</w:t>
      </w:r>
      <w:proofErr w:type="gramEnd"/>
      <w:r w:rsidRPr="00537AD5">
        <w:rPr>
          <w:rFonts w:eastAsiaTheme="majorEastAsia"/>
        </w:rPr>
        <w:t xml:space="preserve"> language), ngôn ngữ mà người dịch sử dụng để chuyển dịch nội dung được trình bày bằng một ngôn ngữ khác, trong dịch thuật. Khi dịch từ tiếng Việt sang tiếng Anh thì tiếng Anh là NNĐ, còn tiếng Việt là ngôn ngữ nguồn. Trong quá trình dịch, người dịch cần hiểu được thông điệp trong ngôn ngữ nguồn, sau đó cơ cấu lại thông điệp đó bằng NNĐ sao cho người đọc bản dịch có thể hiểu đúng những gì mà người tạo lập văn bản bằng ngôn ngữ nguồn muốn truyền đạt. Trong </w:t>
      </w:r>
      <w:proofErr w:type="gramStart"/>
      <w:r w:rsidRPr="00537AD5">
        <w:rPr>
          <w:rFonts w:eastAsiaTheme="majorEastAsia"/>
        </w:rPr>
        <w:t>chu</w:t>
      </w:r>
      <w:proofErr w:type="gramEnd"/>
      <w:r w:rsidRPr="00537AD5">
        <w:rPr>
          <w:rFonts w:eastAsiaTheme="majorEastAsia"/>
        </w:rPr>
        <w:t xml:space="preserve"> trình dịch, việc tạo lập văn bản bằng NNĐ tương ứng với việc mã hóa. Để có một bản dịch tốt, ngoài việc thông thạo ngôn ngữ nguồn và NNĐ, người dịch cần thông thạo cả văn hóa của cộng đồng sử dụng ngôn ngữ nguồn và văn hóa của cộng đồng sử dụng NNĐ.  </w:t>
      </w:r>
    </w:p>
    <w:p w:rsidR="00097349" w:rsidRPr="00537AD5" w:rsidRDefault="00097349" w:rsidP="00097349">
      <w:pPr>
        <w:spacing w:line="360" w:lineRule="auto"/>
        <w:ind w:firstLine="709"/>
        <w:jc w:val="both"/>
        <w:rPr>
          <w:rFonts w:eastAsiaTheme="majorEastAsia"/>
        </w:rPr>
      </w:pPr>
      <w:r w:rsidRPr="00537AD5">
        <w:rPr>
          <w:rFonts w:eastAsiaTheme="majorEastAsia"/>
          <w:b/>
        </w:rPr>
        <w:t>2.</w:t>
      </w:r>
      <w:r w:rsidRPr="00537AD5">
        <w:rPr>
          <w:rFonts w:eastAsiaTheme="majorEastAsia"/>
        </w:rPr>
        <w:t xml:space="preserve"> (</w:t>
      </w:r>
      <w:proofErr w:type="gramStart"/>
      <w:r w:rsidRPr="00537AD5">
        <w:rPr>
          <w:rFonts w:eastAsiaTheme="majorEastAsia"/>
        </w:rPr>
        <w:t>target</w:t>
      </w:r>
      <w:proofErr w:type="gramEnd"/>
      <w:r w:rsidRPr="00537AD5">
        <w:rPr>
          <w:rFonts w:eastAsiaTheme="majorEastAsia"/>
        </w:rPr>
        <w:t xml:space="preserve"> language, L2, second language), ngôn ngữ mà một người không phải là người bản ngữ đang cố gắng học, trong giáo dục ngôn ngữ. NNĐ còn được gọi là ngôn ngữ thứ hai. NNĐ không đồng nhất với ngoại ngữ vì ngoại ngữ thường là ngôn ngữ của một quốc gia, còn NNĐ chỉ đơn thuần là một thứ tiếng khác với tiếng mẹ đẻ của người học. Đối với người Việt học tiếng Anh thì tiếng Anh là NNĐ, đồng thời là một ngoại ngữ. Đối với người Việt học một thứ tiếng của một trong các dân tộc trên đất nước Việt Nam, như tiếng H'mông, tiếng Tày, tiếng Dao</w:t>
      </w:r>
      <w:proofErr w:type="gramStart"/>
      <w:r w:rsidRPr="00537AD5">
        <w:rPr>
          <w:rFonts w:eastAsiaTheme="majorEastAsia"/>
        </w:rPr>
        <w:t>,...</w:t>
      </w:r>
      <w:proofErr w:type="gramEnd"/>
      <w:r w:rsidRPr="00537AD5">
        <w:rPr>
          <w:rFonts w:eastAsiaTheme="majorEastAsia"/>
        </w:rPr>
        <w:t xml:space="preserve"> thì những thứ tiếng đó là NNĐ, mà không phải là ngoại ngữ.</w:t>
      </w:r>
    </w:p>
    <w:p w:rsidR="00097349" w:rsidRPr="00537AD5" w:rsidRDefault="00097349" w:rsidP="00097349">
      <w:pPr>
        <w:spacing w:line="360" w:lineRule="auto"/>
        <w:ind w:firstLine="709"/>
        <w:jc w:val="both"/>
        <w:rPr>
          <w:rFonts w:eastAsiaTheme="majorEastAsia"/>
        </w:rPr>
      </w:pPr>
      <w:r w:rsidRPr="00537AD5">
        <w:rPr>
          <w:rFonts w:eastAsiaTheme="majorEastAsia"/>
        </w:rPr>
        <w:t xml:space="preserve">Trước đây, trong quá trình dạy tiếng, việc dịch từ ngôn ngữ thứ nhất sang NNĐ và ngược lại là một trong những kỹ năng thường được áp dụng. Người dạy cũng thường giảng giải về ngữ pháp, ngữ nghĩa, ngữ dụng của NNĐ bằng tiếng mẹ đẻ của người học, đặc biệt khi người dạy và người học có cùng ngôn ngữ mẹ đẻ. Khi đó, người học như sống trong môi trường song ngữ, thường xuyên sử dụng kỹ năng chuyển mã. Hiện nay, người dạy có xu hướng sử dụng NNĐ để giảng dạy, tạo nên môi trường đơn ngữ cho người học. Việc này giúp cho người học như được sống hoàn toàn trong môi trường NNĐ, nhờ đó, kích thích khả năng tư duy, nói, viết bằng NNĐ của họ. </w:t>
      </w:r>
    </w:p>
    <w:p w:rsidR="00097349" w:rsidRPr="00537AD5" w:rsidRDefault="00097349" w:rsidP="00097349">
      <w:pPr>
        <w:spacing w:line="360" w:lineRule="auto"/>
        <w:ind w:firstLine="709"/>
        <w:jc w:val="both"/>
        <w:rPr>
          <w:rFonts w:eastAsiaTheme="majorEastAsia"/>
        </w:rPr>
      </w:pPr>
      <w:r w:rsidRPr="00537AD5">
        <w:rPr>
          <w:rFonts w:eastAsiaTheme="majorEastAsia"/>
        </w:rPr>
        <w:lastRenderedPageBreak/>
        <w:t>Ngoài ra, để việc dạy NNĐ đạt hiệu quả, cần quan niệm việc dạy tiếng không chỉ đơn thuần là dạy một phương tiện giao tiếp mà còn cần kết hợp với việc truyền tải tri thức về cả hai nền văn hóa đến người học. Thông qua việc chỉ dẫn, so sánh sự tương đồng và khác biệt của hai nền văn hóa, người dạy hướng người học có những nhận thức đúng đắn về nền văn hóa của NNĐ, đồng thời hiểu rõ hơn nền văn hóa của chính mình. Hệ quả của việc này là người học sẽ có khả năng sử dụng NNĐ chính xác, hiệu quả hơn trong mọi cảnh huống. Tuy nhiên, nếu người dạy là người nói cùng tiếng mẹ đẻ với người học, việc truyền tải văn hóa của NNĐ có thể không chính xác. Nếu người dạy là người không biết tiếng mẹ đẻ của người học, người học sẽ phải tự tìm hiểu nền văn hóa của mình và tự so sánh đối chiếu với nền văn hóa của NNĐ. Điều này cũng khiến cho việc học NNĐ gặp nhiều khó khăn. Lý tưởng nhất là có hai giáo viên, một người nói tiếng mẹ đẻ giống người học và một người bản ngữ của NNĐ, việc dạy tiếng có thể đạt hiệu quả cao.</w:t>
      </w:r>
    </w:p>
    <w:p w:rsidR="00097349" w:rsidRPr="00537AD5" w:rsidRDefault="00097349" w:rsidP="00097349">
      <w:pPr>
        <w:spacing w:line="360" w:lineRule="auto"/>
        <w:jc w:val="right"/>
        <w:rPr>
          <w:rFonts w:eastAsiaTheme="majorEastAsia"/>
          <w:b/>
          <w:iCs/>
          <w:sz w:val="20"/>
          <w:szCs w:val="20"/>
        </w:rPr>
      </w:pPr>
      <w:r w:rsidRPr="00537AD5">
        <w:rPr>
          <w:rFonts w:eastAsiaTheme="majorEastAsia"/>
          <w:b/>
          <w:iCs/>
          <w:sz w:val="20"/>
          <w:szCs w:val="20"/>
        </w:rPr>
        <w:t>HOÀNG THỊ NHUNG</w:t>
      </w:r>
    </w:p>
    <w:p w:rsidR="00097349" w:rsidRPr="00537AD5" w:rsidRDefault="00097349" w:rsidP="00097349">
      <w:pPr>
        <w:spacing w:line="360" w:lineRule="auto"/>
        <w:jc w:val="both"/>
        <w:rPr>
          <w:rFonts w:eastAsiaTheme="majorEastAsia"/>
          <w:b/>
          <w:iCs/>
          <w:sz w:val="24"/>
          <w:szCs w:val="24"/>
        </w:rPr>
      </w:pPr>
      <w:r w:rsidRPr="00537AD5">
        <w:rPr>
          <w:rFonts w:eastAsiaTheme="majorEastAsia"/>
          <w:b/>
          <w:iCs/>
          <w:sz w:val="24"/>
          <w:szCs w:val="24"/>
        </w:rPr>
        <w:t>Tài liệu tham khảo</w:t>
      </w:r>
    </w:p>
    <w:p w:rsidR="00097349" w:rsidRPr="00537AD5" w:rsidRDefault="00097349" w:rsidP="00097349">
      <w:pPr>
        <w:spacing w:line="360" w:lineRule="auto"/>
        <w:jc w:val="both"/>
        <w:rPr>
          <w:rFonts w:eastAsiaTheme="majorEastAsia"/>
          <w:bCs/>
          <w:iCs/>
          <w:sz w:val="24"/>
          <w:szCs w:val="24"/>
        </w:rPr>
      </w:pPr>
      <w:r w:rsidRPr="00537AD5">
        <w:rPr>
          <w:rFonts w:eastAsiaTheme="majorEastAsia"/>
          <w:bCs/>
          <w:iCs/>
          <w:sz w:val="24"/>
          <w:szCs w:val="24"/>
        </w:rPr>
        <w:t xml:space="preserve">1. Hoàng Văn Vân, </w:t>
      </w:r>
      <w:r w:rsidRPr="00537AD5">
        <w:rPr>
          <w:rFonts w:eastAsiaTheme="majorEastAsia"/>
          <w:bCs/>
          <w:i/>
          <w:iCs/>
          <w:sz w:val="24"/>
          <w:szCs w:val="24"/>
        </w:rPr>
        <w:t>Nghiên cứu dịch thuật</w:t>
      </w:r>
      <w:r w:rsidRPr="00537AD5">
        <w:rPr>
          <w:rFonts w:eastAsiaTheme="majorEastAsia"/>
          <w:bCs/>
          <w:iCs/>
          <w:sz w:val="24"/>
          <w:szCs w:val="24"/>
        </w:rPr>
        <w:t>, Nxb. Khoa học xã hội, Hà Nội, 2005.</w:t>
      </w:r>
    </w:p>
    <w:p w:rsidR="00097349" w:rsidRPr="00537AD5" w:rsidRDefault="00097349" w:rsidP="00097349">
      <w:pPr>
        <w:spacing w:line="360" w:lineRule="auto"/>
        <w:jc w:val="both"/>
        <w:rPr>
          <w:rFonts w:eastAsiaTheme="majorEastAsia"/>
          <w:bCs/>
          <w:iCs/>
          <w:sz w:val="24"/>
          <w:szCs w:val="24"/>
        </w:rPr>
      </w:pPr>
      <w:r w:rsidRPr="00537AD5">
        <w:rPr>
          <w:rFonts w:eastAsiaTheme="majorEastAsia"/>
          <w:bCs/>
          <w:iCs/>
          <w:sz w:val="24"/>
          <w:szCs w:val="24"/>
        </w:rPr>
        <w:t xml:space="preserve">2. Nguyễn Thiện Giáp, </w:t>
      </w:r>
      <w:r w:rsidRPr="00537AD5">
        <w:rPr>
          <w:rFonts w:eastAsiaTheme="majorEastAsia"/>
          <w:bCs/>
          <w:i/>
          <w:sz w:val="24"/>
          <w:szCs w:val="24"/>
        </w:rPr>
        <w:t>Từ điển khái niệm ngôn ngữ học</w:t>
      </w:r>
      <w:r w:rsidRPr="00537AD5">
        <w:rPr>
          <w:rFonts w:eastAsiaTheme="majorEastAsia"/>
          <w:bCs/>
          <w:iCs/>
          <w:sz w:val="24"/>
          <w:szCs w:val="24"/>
        </w:rPr>
        <w:t>, Nxb. Đại học Quốc gia Hà Nội, Hà Nội, 2016.</w:t>
      </w:r>
    </w:p>
    <w:p w:rsidR="00097349" w:rsidRPr="00537AD5" w:rsidRDefault="00097349" w:rsidP="00097349">
      <w:pPr>
        <w:spacing w:line="360" w:lineRule="auto"/>
        <w:jc w:val="both"/>
        <w:rPr>
          <w:rFonts w:eastAsiaTheme="majorEastAsia"/>
          <w:bCs/>
          <w:iCs/>
          <w:sz w:val="24"/>
          <w:szCs w:val="24"/>
        </w:rPr>
      </w:pPr>
      <w:r w:rsidRPr="00537AD5">
        <w:rPr>
          <w:rFonts w:eastAsiaTheme="majorEastAsia"/>
          <w:sz w:val="24"/>
          <w:szCs w:val="24"/>
        </w:rPr>
        <w:t xml:space="preserve">3. Nida &amp;Taber, </w:t>
      </w:r>
      <w:r w:rsidRPr="00537AD5">
        <w:rPr>
          <w:rFonts w:eastAsiaTheme="majorEastAsia"/>
          <w:i/>
          <w:sz w:val="24"/>
          <w:szCs w:val="24"/>
        </w:rPr>
        <w:t>The theorry and practice of translation</w:t>
      </w:r>
      <w:r w:rsidRPr="00537AD5">
        <w:rPr>
          <w:rFonts w:eastAsiaTheme="majorEastAsia"/>
          <w:sz w:val="24"/>
          <w:szCs w:val="24"/>
        </w:rPr>
        <w:t>, Leiden, 1968/1982.</w:t>
      </w:r>
    </w:p>
    <w:p w:rsidR="00097349" w:rsidRPr="00537AD5" w:rsidRDefault="00097349" w:rsidP="00097349">
      <w:pPr>
        <w:spacing w:line="360" w:lineRule="auto"/>
        <w:jc w:val="both"/>
        <w:rPr>
          <w:rFonts w:eastAsiaTheme="majorEastAsia"/>
          <w:bCs/>
          <w:iCs/>
          <w:sz w:val="24"/>
          <w:szCs w:val="24"/>
        </w:rPr>
      </w:pPr>
      <w:r w:rsidRPr="00537AD5">
        <w:rPr>
          <w:rFonts w:eastAsiaTheme="majorEastAsia"/>
          <w:sz w:val="24"/>
          <w:szCs w:val="24"/>
        </w:rPr>
        <w:t xml:space="preserve">4. Jack C. Richards and Richard Schmidt, </w:t>
      </w:r>
      <w:r w:rsidRPr="00537AD5">
        <w:rPr>
          <w:rFonts w:eastAsiaTheme="majorEastAsia"/>
          <w:i/>
          <w:iCs/>
          <w:sz w:val="24"/>
          <w:szCs w:val="24"/>
        </w:rPr>
        <w:t xml:space="preserve">Longman </w:t>
      </w:r>
      <w:r w:rsidRPr="00537AD5">
        <w:rPr>
          <w:rFonts w:eastAsiaTheme="majorEastAsia"/>
          <w:i/>
          <w:sz w:val="24"/>
          <w:szCs w:val="24"/>
        </w:rPr>
        <w:t>Dictionary of Language Teaching and Applied Linguistics</w:t>
      </w:r>
      <w:r w:rsidRPr="00537AD5">
        <w:rPr>
          <w:rFonts w:eastAsiaTheme="majorEastAsia"/>
          <w:sz w:val="24"/>
          <w:szCs w:val="24"/>
        </w:rPr>
        <w:t>, Fourth edition, Pearson Education Limited 1985, 1992, 2002, 2010, Fourth edition published in Great Britain in 2010.</w:t>
      </w:r>
    </w:p>
    <w:p w:rsidR="00097349" w:rsidRPr="00537AD5" w:rsidRDefault="00097349" w:rsidP="00097349">
      <w:pPr>
        <w:spacing w:line="360" w:lineRule="auto"/>
        <w:ind w:left="564"/>
        <w:jc w:val="both"/>
        <w:rPr>
          <w:rFonts w:eastAsiaTheme="majorEastAsia"/>
          <w:bCs/>
          <w:iCs/>
          <w:sz w:val="24"/>
          <w:szCs w:val="24"/>
        </w:rPr>
      </w:pPr>
    </w:p>
    <w:p w:rsidR="00097349" w:rsidRPr="00537AD5" w:rsidRDefault="00097349" w:rsidP="00097349">
      <w:pPr>
        <w:spacing w:line="360" w:lineRule="auto"/>
        <w:jc w:val="both"/>
        <w:rPr>
          <w:rFonts w:eastAsiaTheme="majorEastAsia"/>
        </w:rPr>
      </w:pPr>
      <w:r w:rsidRPr="00537AD5">
        <w:rPr>
          <w:rFonts w:eastAsiaTheme="majorEastAsia"/>
        </w:rPr>
        <w:br w:type="column"/>
      </w:r>
    </w:p>
    <w:p w:rsidR="00097349" w:rsidRPr="00537AD5" w:rsidRDefault="00097349" w:rsidP="00097349">
      <w:pPr>
        <w:rPr>
          <w:rFonts w:eastAsiaTheme="majorEastAsia"/>
        </w:rPr>
      </w:pPr>
    </w:p>
    <w:p w:rsidR="0074324B" w:rsidRDefault="00097349">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12E"/>
    <w:rsid w:val="00097349"/>
    <w:rsid w:val="005A6D57"/>
    <w:rsid w:val="0076312E"/>
    <w:rsid w:val="007D3409"/>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CFD5D-68F1-40C2-9FE4-C34FAE77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349"/>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2025-12-15T07:46:00Z</dcterms:created>
  <dcterms:modified xsi:type="dcterms:W3CDTF">2025-12-15T07:46:00Z</dcterms:modified>
</cp:coreProperties>
</file>